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8B9B5" w14:textId="77777777" w:rsidR="009214FF" w:rsidRPr="008A1540" w:rsidRDefault="009214FF" w:rsidP="009214FF">
      <w:pPr>
        <w:rPr>
          <w:lang w:val="bg-BG"/>
        </w:rPr>
      </w:pPr>
    </w:p>
    <w:p w14:paraId="33894539" w14:textId="77777777" w:rsidR="009214FF" w:rsidRPr="008A1540" w:rsidRDefault="009214FF" w:rsidP="009214FF">
      <w:pPr>
        <w:jc w:val="right"/>
        <w:rPr>
          <w:rFonts w:ascii="Times New Roman" w:hAnsi="Times New Roman" w:cs="Times New Roman"/>
          <w:i/>
          <w:sz w:val="28"/>
          <w:szCs w:val="28"/>
          <w:lang w:val="bg-BG"/>
        </w:rPr>
      </w:pPr>
      <w:r w:rsidRPr="008A1540">
        <w:rPr>
          <w:rFonts w:ascii="Times New Roman" w:hAnsi="Times New Roman" w:cs="Times New Roman"/>
          <w:i/>
          <w:sz w:val="28"/>
          <w:szCs w:val="28"/>
          <w:lang w:val="bg-BG"/>
        </w:rPr>
        <w:t>Приложение № 3</w:t>
      </w:r>
    </w:p>
    <w:p w14:paraId="15D0923B" w14:textId="77777777" w:rsidR="009214FF" w:rsidRPr="008A1540" w:rsidRDefault="009214FF" w:rsidP="009214FF">
      <w:pPr>
        <w:rPr>
          <w:rFonts w:ascii="Times New Roman" w:hAnsi="Times New Roman" w:cs="Times New Roman"/>
          <w:b/>
          <w:bCs/>
          <w:sz w:val="28"/>
          <w:szCs w:val="28"/>
          <w:lang w:val="bg-BG"/>
        </w:rPr>
      </w:pPr>
    </w:p>
    <w:p w14:paraId="7D86A58A" w14:textId="77777777" w:rsidR="009214FF" w:rsidRPr="008A1540" w:rsidRDefault="009214FF" w:rsidP="009214FF">
      <w:pPr>
        <w:jc w:val="center"/>
        <w:rPr>
          <w:rFonts w:ascii="Times New Roman" w:hAnsi="Times New Roman" w:cs="Times New Roman"/>
          <w:b/>
          <w:bCs/>
          <w:sz w:val="28"/>
          <w:szCs w:val="28"/>
          <w:lang w:val="bg-BG"/>
        </w:rPr>
      </w:pPr>
      <w:r w:rsidRPr="008A1540">
        <w:rPr>
          <w:rFonts w:ascii="Times New Roman" w:hAnsi="Times New Roman" w:cs="Times New Roman"/>
          <w:b/>
          <w:bCs/>
          <w:noProof/>
          <w:sz w:val="28"/>
          <w:szCs w:val="28"/>
          <w:lang w:val="bg-BG"/>
        </w:rPr>
        <w:drawing>
          <wp:anchor distT="0" distB="0" distL="114300" distR="114300" simplePos="0" relativeHeight="251659264" behindDoc="0" locked="0" layoutInCell="1" allowOverlap="1" wp14:anchorId="4D4A90E4" wp14:editId="40A56BE6">
            <wp:simplePos x="0" y="0"/>
            <wp:positionH relativeFrom="column">
              <wp:posOffset>123825</wp:posOffset>
            </wp:positionH>
            <wp:positionV relativeFrom="paragraph">
              <wp:posOffset>27305</wp:posOffset>
            </wp:positionV>
            <wp:extent cx="466725" cy="347980"/>
            <wp:effectExtent l="0" t="0" r="0" b="0"/>
            <wp:wrapSquare wrapText="bothSides"/>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347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1540">
        <w:rPr>
          <w:rFonts w:ascii="Times New Roman" w:hAnsi="Times New Roman" w:cs="Times New Roman"/>
          <w:b/>
          <w:bCs/>
          <w:sz w:val="28"/>
          <w:szCs w:val="28"/>
          <w:lang w:val="bg-BG"/>
        </w:rPr>
        <w:t>Б Ъ Л Г А Р С К А   А К А Д Е М И Я   Н А   Н А У К И Т Е</w:t>
      </w:r>
    </w:p>
    <w:p w14:paraId="3189A39B" w14:textId="77777777" w:rsidR="009214FF" w:rsidRPr="008A1540" w:rsidRDefault="009214FF" w:rsidP="009214FF">
      <w:pPr>
        <w:jc w:val="center"/>
        <w:rPr>
          <w:rFonts w:ascii="Times New Roman" w:hAnsi="Times New Roman" w:cs="Times New Roman"/>
          <w:b/>
          <w:bCs/>
          <w:sz w:val="28"/>
          <w:szCs w:val="28"/>
          <w:lang w:val="bg-BG"/>
        </w:rPr>
      </w:pPr>
      <w:r w:rsidRPr="008A1540">
        <w:rPr>
          <w:rFonts w:ascii="Times New Roman" w:hAnsi="Times New Roman" w:cs="Times New Roman"/>
          <w:b/>
          <w:bCs/>
          <w:sz w:val="28"/>
          <w:szCs w:val="28"/>
          <w:lang w:val="bg-BG"/>
        </w:rPr>
        <w:t>И Н С Т И Т У Т    П О   О К Е А Н О Л О Г И Я  –  В А Р Н А</w:t>
      </w:r>
    </w:p>
    <w:p w14:paraId="0856508C" w14:textId="77777777" w:rsidR="009214FF" w:rsidRPr="008A1540" w:rsidRDefault="009214FF" w:rsidP="009214FF">
      <w:pPr>
        <w:spacing w:after="240"/>
        <w:rPr>
          <w:rFonts w:ascii="Times New Roman" w:hAnsi="Times New Roman" w:cs="Times New Roman"/>
          <w:sz w:val="28"/>
          <w:szCs w:val="28"/>
          <w:lang w:val="bg-BG"/>
        </w:rPr>
      </w:pPr>
    </w:p>
    <w:p w14:paraId="725CB92A" w14:textId="77777777" w:rsidR="009214FF" w:rsidRPr="008A1540" w:rsidRDefault="009214FF" w:rsidP="009214FF">
      <w:pPr>
        <w:jc w:val="both"/>
        <w:rPr>
          <w:rFonts w:ascii="Times New Roman" w:hAnsi="Times New Roman" w:cs="Times New Roman"/>
          <w:sz w:val="28"/>
          <w:szCs w:val="28"/>
          <w:lang w:val="bg-BG"/>
        </w:rPr>
      </w:pPr>
    </w:p>
    <w:p w14:paraId="6A3863D6" w14:textId="77777777" w:rsidR="009214FF" w:rsidRPr="008A1540" w:rsidRDefault="009214FF" w:rsidP="009214FF">
      <w:pPr>
        <w:jc w:val="both"/>
        <w:rPr>
          <w:rFonts w:ascii="Times New Roman" w:hAnsi="Times New Roman" w:cs="Times New Roman"/>
          <w:b/>
          <w:bCs/>
          <w:sz w:val="28"/>
          <w:szCs w:val="28"/>
          <w:lang w:val="bg-BG"/>
        </w:rPr>
      </w:pPr>
      <w:r w:rsidRPr="008A1540">
        <w:rPr>
          <w:rFonts w:ascii="Times New Roman" w:hAnsi="Times New Roman" w:cs="Times New Roman"/>
          <w:sz w:val="28"/>
          <w:szCs w:val="28"/>
          <w:lang w:val="bg-BG"/>
        </w:rPr>
        <w:t xml:space="preserve">До </w:t>
      </w:r>
    </w:p>
    <w:p w14:paraId="105AF205" w14:textId="77777777" w:rsidR="009214FF" w:rsidRPr="008A1540" w:rsidRDefault="009214FF" w:rsidP="009214FF">
      <w:pPr>
        <w:jc w:val="both"/>
        <w:rPr>
          <w:rFonts w:ascii="Times New Roman" w:hAnsi="Times New Roman" w:cs="Times New Roman"/>
          <w:b/>
          <w:bCs/>
          <w:sz w:val="28"/>
          <w:szCs w:val="28"/>
          <w:lang w:val="bg-BG"/>
        </w:rPr>
      </w:pPr>
      <w:r w:rsidRPr="008A1540">
        <w:rPr>
          <w:rFonts w:ascii="Times New Roman" w:hAnsi="Times New Roman" w:cs="Times New Roman"/>
          <w:b/>
          <w:bCs/>
          <w:sz w:val="28"/>
          <w:szCs w:val="28"/>
          <w:lang w:val="bg-BG"/>
        </w:rPr>
        <w:t xml:space="preserve">Директора </w:t>
      </w:r>
    </w:p>
    <w:p w14:paraId="0C03652A" w14:textId="77777777" w:rsidR="009214FF" w:rsidRPr="008A1540" w:rsidRDefault="009214FF" w:rsidP="009214FF">
      <w:pPr>
        <w:jc w:val="both"/>
        <w:rPr>
          <w:rFonts w:ascii="Times New Roman" w:hAnsi="Times New Roman" w:cs="Times New Roman"/>
          <w:b/>
          <w:bCs/>
          <w:sz w:val="28"/>
          <w:szCs w:val="28"/>
          <w:lang w:val="bg-BG"/>
        </w:rPr>
      </w:pPr>
      <w:r w:rsidRPr="008A1540">
        <w:rPr>
          <w:rFonts w:ascii="Times New Roman" w:hAnsi="Times New Roman" w:cs="Times New Roman"/>
          <w:b/>
          <w:bCs/>
          <w:sz w:val="28"/>
          <w:szCs w:val="28"/>
          <w:lang w:val="bg-BG"/>
        </w:rPr>
        <w:t xml:space="preserve">на „ИО-БАН“ -Варна </w:t>
      </w:r>
    </w:p>
    <w:p w14:paraId="794CAA56" w14:textId="77777777" w:rsidR="009214FF" w:rsidRPr="008A1540" w:rsidRDefault="009214FF" w:rsidP="009214FF">
      <w:pPr>
        <w:jc w:val="both"/>
        <w:rPr>
          <w:rFonts w:ascii="Times New Roman" w:hAnsi="Times New Roman" w:cs="Times New Roman"/>
          <w:b/>
          <w:bCs/>
          <w:sz w:val="28"/>
          <w:szCs w:val="28"/>
          <w:lang w:val="bg-BG"/>
        </w:rPr>
      </w:pPr>
    </w:p>
    <w:p w14:paraId="0D2F9A49" w14:textId="77777777" w:rsidR="009214FF" w:rsidRPr="008A1540" w:rsidRDefault="009214FF" w:rsidP="009214FF">
      <w:pPr>
        <w:jc w:val="both"/>
        <w:rPr>
          <w:rFonts w:ascii="Times New Roman" w:hAnsi="Times New Roman" w:cs="Times New Roman"/>
          <w:b/>
          <w:bCs/>
          <w:sz w:val="28"/>
          <w:szCs w:val="28"/>
          <w:lang w:val="bg-BG"/>
        </w:rPr>
      </w:pPr>
      <w:r w:rsidRPr="008A1540">
        <w:rPr>
          <w:rFonts w:ascii="Times New Roman" w:hAnsi="Times New Roman" w:cs="Times New Roman"/>
          <w:b/>
          <w:bCs/>
          <w:sz w:val="28"/>
          <w:szCs w:val="28"/>
          <w:lang w:val="bg-BG"/>
        </w:rPr>
        <w:t xml:space="preserve">Копие До </w:t>
      </w:r>
    </w:p>
    <w:p w14:paraId="763E8B81" w14:textId="77777777" w:rsidR="009214FF" w:rsidRPr="008A1540" w:rsidRDefault="009214FF" w:rsidP="009214FF">
      <w:pPr>
        <w:jc w:val="both"/>
        <w:rPr>
          <w:rFonts w:ascii="Times New Roman" w:hAnsi="Times New Roman" w:cs="Times New Roman"/>
          <w:b/>
          <w:bCs/>
          <w:sz w:val="28"/>
          <w:szCs w:val="28"/>
          <w:lang w:val="bg-BG"/>
        </w:rPr>
      </w:pPr>
      <w:r w:rsidRPr="008A1540">
        <w:rPr>
          <w:rFonts w:ascii="Times New Roman" w:hAnsi="Times New Roman" w:cs="Times New Roman"/>
          <w:b/>
          <w:bCs/>
          <w:sz w:val="28"/>
          <w:szCs w:val="28"/>
          <w:lang w:val="bg-BG"/>
        </w:rPr>
        <w:t>…….</w:t>
      </w:r>
    </w:p>
    <w:p w14:paraId="587ABB6A" w14:textId="77777777" w:rsidR="009214FF" w:rsidRPr="008A1540" w:rsidRDefault="009214FF" w:rsidP="009214FF">
      <w:pPr>
        <w:rPr>
          <w:rFonts w:ascii="Times New Roman" w:hAnsi="Times New Roman" w:cs="Times New Roman"/>
          <w:b/>
          <w:bCs/>
          <w:sz w:val="28"/>
          <w:szCs w:val="28"/>
          <w:lang w:val="bg-BG"/>
        </w:rPr>
      </w:pPr>
      <w:r w:rsidRPr="008A1540">
        <w:rPr>
          <w:rFonts w:ascii="Times New Roman" w:hAnsi="Times New Roman" w:cs="Times New Roman"/>
          <w:b/>
          <w:bCs/>
          <w:sz w:val="28"/>
          <w:szCs w:val="28"/>
          <w:lang w:val="bg-BG"/>
        </w:rPr>
        <w:t xml:space="preserve">Oтносно: </w:t>
      </w:r>
      <w:r w:rsidRPr="008A1540">
        <w:rPr>
          <w:rFonts w:ascii="Times New Roman" w:hAnsi="Times New Roman" w:cs="Times New Roman"/>
          <w:sz w:val="28"/>
          <w:szCs w:val="28"/>
          <w:lang w:val="bg-BG"/>
        </w:rPr>
        <w:t>Възникване на необходимостта от провеждане на обществена поръчка</w:t>
      </w:r>
      <w:r w:rsidRPr="008A1540">
        <w:rPr>
          <w:rFonts w:ascii="Times New Roman" w:hAnsi="Times New Roman" w:cs="Times New Roman"/>
          <w:b/>
          <w:bCs/>
          <w:sz w:val="28"/>
          <w:szCs w:val="28"/>
          <w:lang w:val="bg-BG"/>
        </w:rPr>
        <w:t xml:space="preserve"> </w:t>
      </w:r>
    </w:p>
    <w:p w14:paraId="520C44EF" w14:textId="77777777" w:rsidR="009214FF" w:rsidRPr="008A1540" w:rsidRDefault="009214FF" w:rsidP="009214FF">
      <w:pPr>
        <w:rPr>
          <w:rFonts w:ascii="Times New Roman" w:hAnsi="Times New Roman" w:cs="Times New Roman"/>
          <w:b/>
          <w:bCs/>
          <w:sz w:val="28"/>
          <w:szCs w:val="28"/>
          <w:lang w:val="bg-BG"/>
        </w:rPr>
      </w:pPr>
    </w:p>
    <w:p w14:paraId="3BBD6927" w14:textId="77777777" w:rsidR="009214FF" w:rsidRPr="008A1540" w:rsidRDefault="009214FF" w:rsidP="009214FF">
      <w:pPr>
        <w:ind w:left="2160" w:firstLine="720"/>
        <w:rPr>
          <w:rFonts w:ascii="Times New Roman" w:hAnsi="Times New Roman" w:cs="Times New Roman"/>
          <w:b/>
          <w:bCs/>
          <w:sz w:val="28"/>
          <w:szCs w:val="28"/>
          <w:lang w:val="bg-BG"/>
        </w:rPr>
      </w:pPr>
      <w:r w:rsidRPr="008A1540">
        <w:rPr>
          <w:rFonts w:ascii="Times New Roman" w:hAnsi="Times New Roman" w:cs="Times New Roman"/>
          <w:b/>
          <w:bCs/>
          <w:sz w:val="28"/>
          <w:szCs w:val="28"/>
          <w:lang w:val="bg-BG"/>
        </w:rPr>
        <w:t>ИНИЦИИРАЩ ДОКЛАД</w:t>
      </w:r>
    </w:p>
    <w:p w14:paraId="6C77DF52" w14:textId="77777777" w:rsidR="009214FF" w:rsidRPr="008A1540" w:rsidRDefault="009214FF" w:rsidP="009214FF">
      <w:pPr>
        <w:jc w:val="center"/>
        <w:rPr>
          <w:rFonts w:ascii="Times New Roman" w:hAnsi="Times New Roman" w:cs="Times New Roman"/>
          <w:sz w:val="28"/>
          <w:szCs w:val="28"/>
          <w:lang w:val="bg-BG"/>
        </w:rPr>
      </w:pPr>
    </w:p>
    <w:p w14:paraId="4DBF4B0B" w14:textId="77777777" w:rsidR="009214FF" w:rsidRPr="008A1540" w:rsidRDefault="009214FF" w:rsidP="009214FF">
      <w:pPr>
        <w:jc w:val="center"/>
        <w:rPr>
          <w:rFonts w:ascii="Times New Roman" w:hAnsi="Times New Roman" w:cs="Times New Roman"/>
          <w:sz w:val="28"/>
          <w:szCs w:val="28"/>
          <w:lang w:val="bg-BG"/>
        </w:rPr>
      </w:pPr>
      <w:r w:rsidRPr="008A1540">
        <w:rPr>
          <w:rFonts w:ascii="Times New Roman" w:hAnsi="Times New Roman" w:cs="Times New Roman"/>
          <w:sz w:val="28"/>
          <w:szCs w:val="28"/>
          <w:lang w:val="bg-BG"/>
        </w:rPr>
        <w:t>от.....</w:t>
      </w:r>
    </w:p>
    <w:p w14:paraId="3EAEC162" w14:textId="77777777" w:rsidR="009214FF" w:rsidRPr="008A1540" w:rsidRDefault="009214FF" w:rsidP="009214FF">
      <w:pPr>
        <w:jc w:val="center"/>
        <w:rPr>
          <w:rFonts w:ascii="Times New Roman" w:hAnsi="Times New Roman" w:cs="Times New Roman"/>
          <w:sz w:val="28"/>
          <w:szCs w:val="28"/>
          <w:lang w:val="bg-BG"/>
        </w:rPr>
      </w:pPr>
    </w:p>
    <w:p w14:paraId="44F0712E"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b/>
          <w:bCs/>
          <w:sz w:val="28"/>
          <w:szCs w:val="28"/>
          <w:lang w:val="bg-BG"/>
        </w:rPr>
        <w:t>УВАЖАЕМА Г-ЖО ДИРЕКТОР</w:t>
      </w:r>
      <w:r w:rsidRPr="008A1540">
        <w:rPr>
          <w:rFonts w:ascii="Times New Roman" w:hAnsi="Times New Roman" w:cs="Times New Roman"/>
          <w:sz w:val="28"/>
          <w:szCs w:val="28"/>
          <w:lang w:val="bg-BG"/>
        </w:rPr>
        <w:t xml:space="preserve">, </w:t>
      </w:r>
    </w:p>
    <w:p w14:paraId="5732CCAC" w14:textId="77777777" w:rsidR="009214FF" w:rsidRPr="008A1540" w:rsidRDefault="009214FF" w:rsidP="009214FF">
      <w:pPr>
        <w:ind w:firstLine="708"/>
        <w:jc w:val="both"/>
        <w:rPr>
          <w:rFonts w:ascii="Times New Roman" w:hAnsi="Times New Roman" w:cs="Times New Roman"/>
          <w:sz w:val="28"/>
          <w:szCs w:val="28"/>
          <w:lang w:val="bg-BG"/>
        </w:rPr>
      </w:pPr>
    </w:p>
    <w:p w14:paraId="52E2CFF4"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Поради изтичане срока на договора/предвид настъпила необходимост от..../ моля да разпоредите провеждането на възлагане по ЗОП, с предмет: „.........................при следните условия:</w:t>
      </w:r>
    </w:p>
    <w:p w14:paraId="6250ABF0"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1.  Обект на поръчката  /строителство, доставки, услуги/;</w:t>
      </w:r>
    </w:p>
    <w:p w14:paraId="4BE11065"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lastRenderedPageBreak/>
        <w:t xml:space="preserve">2. Кратко описание на предмета на поръчката, количество и обем, включително на обособените позиции /когато е приложимо/ - подробно описани в </w:t>
      </w:r>
      <w:r w:rsidRPr="008A1540">
        <w:rPr>
          <w:rFonts w:ascii="Times New Roman" w:hAnsi="Times New Roman" w:cs="Times New Roman"/>
          <w:sz w:val="28"/>
          <w:szCs w:val="28"/>
          <w:u w:val="single"/>
          <w:lang w:val="bg-BG"/>
        </w:rPr>
        <w:t>Техническата спецификация – Приложение № 1</w:t>
      </w:r>
      <w:r w:rsidRPr="008A1540">
        <w:rPr>
          <w:rFonts w:ascii="Times New Roman" w:hAnsi="Times New Roman" w:cs="Times New Roman"/>
          <w:sz w:val="28"/>
          <w:szCs w:val="28"/>
          <w:lang w:val="bg-BG"/>
        </w:rPr>
        <w:t>;</w:t>
      </w:r>
    </w:p>
    <w:p w14:paraId="143ED659"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3. Начин на възлагането - Вид на процедурата или способа за възлагане /събиране на оферти с обявя, покана до определени лица/;</w:t>
      </w:r>
    </w:p>
    <w:p w14:paraId="49B1DE23"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 xml:space="preserve">4. Прогнозна стойност на поръчката – </w:t>
      </w:r>
      <w:r w:rsidRPr="008A1540">
        <w:rPr>
          <w:rFonts w:ascii="Times New Roman" w:hAnsi="Times New Roman" w:cs="Times New Roman"/>
          <w:i/>
          <w:iCs/>
          <w:color w:val="FF0000"/>
          <w:sz w:val="28"/>
          <w:szCs w:val="28"/>
          <w:lang w:val="bg-BG"/>
        </w:rPr>
        <w:t>посочва се прогнозната стойност без ДДС, описание на начина, по който е определена, и се прилагат резултати от пазарни проучвания или пазарни консултации</w:t>
      </w:r>
      <w:r w:rsidRPr="008A1540">
        <w:rPr>
          <w:rFonts w:ascii="Times New Roman" w:hAnsi="Times New Roman" w:cs="Times New Roman"/>
          <w:sz w:val="28"/>
          <w:szCs w:val="28"/>
          <w:lang w:val="bg-BG"/>
        </w:rPr>
        <w:t>;</w:t>
      </w:r>
    </w:p>
    <w:p w14:paraId="47A3BB55"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5. Количество и обем на поръчката, включително за всяка обособена позиция;</w:t>
      </w:r>
    </w:p>
    <w:p w14:paraId="6F5684D1"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6. Срок на договора/срок за изпълнение;</w:t>
      </w:r>
    </w:p>
    <w:p w14:paraId="65323711"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7. Финансиране и начин на плащане, документи въз основа на които ще се извършва плащане;</w:t>
      </w:r>
    </w:p>
    <w:p w14:paraId="52776BCE"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8. Начин на възлагането при изпълнение на договора;</w:t>
      </w:r>
    </w:p>
    <w:p w14:paraId="4A6F9580"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9. Място на изпълнение;</w:t>
      </w:r>
    </w:p>
    <w:p w14:paraId="35C73D45"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10. Звеното и или лицето, което ще осъществява контрол по изпълнение на договора;</w:t>
      </w:r>
    </w:p>
    <w:p w14:paraId="37865DE1"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11. Минимални изисквания за годност/правоспособност, икономическо и финансово състояние на кандидата или участника, технически възможности, квалификации, както и документи, с които те се доказват;</w:t>
      </w:r>
    </w:p>
    <w:p w14:paraId="38CC4419"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12. Специфични изисквания към кандидатите и документи, с които ще се доказват;</w:t>
      </w:r>
    </w:p>
    <w:p w14:paraId="0F5D583D"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13. Възможност участниците да подават оферти само за една, за една или повече обособени позиции – когато обекта на поръчката  включва няколко обособени позиции;</w:t>
      </w:r>
    </w:p>
    <w:p w14:paraId="0B0ED7E2"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14. Срок на валидност на офертите /</w:t>
      </w:r>
      <w:r w:rsidRPr="008A1540">
        <w:rPr>
          <w:rFonts w:ascii="Times New Roman" w:hAnsi="Times New Roman" w:cs="Times New Roman"/>
          <w:i/>
          <w:sz w:val="28"/>
          <w:szCs w:val="28"/>
          <w:lang w:val="bg-BG"/>
        </w:rPr>
        <w:t>в общия случай 6 месеца при процедура, 3 месеца при събиране на оферти с обява и покана до определени лица</w:t>
      </w:r>
      <w:r w:rsidRPr="008A1540">
        <w:rPr>
          <w:rFonts w:ascii="Times New Roman" w:hAnsi="Times New Roman" w:cs="Times New Roman"/>
          <w:sz w:val="28"/>
          <w:szCs w:val="28"/>
          <w:lang w:val="bg-BG"/>
        </w:rPr>
        <w:t>/;</w:t>
      </w:r>
    </w:p>
    <w:p w14:paraId="537CA3A9"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15. Критерий за оценка и начин за определяне на комплексната оценка /методика/;</w:t>
      </w:r>
    </w:p>
    <w:p w14:paraId="6F9F6AD3"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lastRenderedPageBreak/>
        <w:t>16.</w:t>
      </w:r>
      <w:r w:rsidRPr="008A1540">
        <w:rPr>
          <w:rFonts w:ascii="Times New Roman" w:hAnsi="Times New Roman" w:cs="Times New Roman"/>
          <w:sz w:val="28"/>
          <w:szCs w:val="28"/>
          <w:lang w:val="bg-BG"/>
        </w:rPr>
        <w:tab/>
        <w:t xml:space="preserve">Гаранция за изпълнение </w:t>
      </w:r>
      <w:r w:rsidRPr="008A1540">
        <w:rPr>
          <w:rFonts w:ascii="Times New Roman" w:hAnsi="Times New Roman" w:cs="Times New Roman"/>
          <w:i/>
          <w:iCs/>
          <w:sz w:val="28"/>
          <w:szCs w:val="28"/>
          <w:lang w:val="bg-BG"/>
        </w:rPr>
        <w:t>/в проценти, макс. 10 %, ако такава се изисква</w:t>
      </w:r>
      <w:r w:rsidRPr="008A1540">
        <w:rPr>
          <w:rFonts w:ascii="Times New Roman" w:hAnsi="Times New Roman" w:cs="Times New Roman"/>
          <w:sz w:val="28"/>
          <w:szCs w:val="28"/>
          <w:lang w:val="bg-BG"/>
        </w:rPr>
        <w:t>/. Гаранция за авансово плащане /</w:t>
      </w:r>
      <w:r w:rsidRPr="008A1540">
        <w:rPr>
          <w:rFonts w:ascii="Times New Roman" w:hAnsi="Times New Roman" w:cs="Times New Roman"/>
          <w:i/>
          <w:iCs/>
          <w:sz w:val="28"/>
          <w:szCs w:val="28"/>
          <w:lang w:val="bg-BG"/>
        </w:rPr>
        <w:t>ако има предвидено авансово плащане, то гаранцията е в размера на авансовото плащане с ДДС</w:t>
      </w:r>
      <w:r w:rsidRPr="008A1540">
        <w:rPr>
          <w:rFonts w:ascii="Times New Roman" w:hAnsi="Times New Roman" w:cs="Times New Roman"/>
          <w:sz w:val="28"/>
          <w:szCs w:val="28"/>
          <w:lang w:val="bg-BG"/>
        </w:rPr>
        <w:t>/;</w:t>
      </w:r>
    </w:p>
    <w:p w14:paraId="51D21816"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 xml:space="preserve">17. Отчитането/приемането на дейностите предмет на поръчката, въз основа на………..; </w:t>
      </w:r>
    </w:p>
    <w:p w14:paraId="03F2F284"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18. Базови цени /във връзка с чл. 72, ал. 1, т. 2 от ЗОП/</w:t>
      </w:r>
    </w:p>
    <w:p w14:paraId="1A4E625C" w14:textId="77777777" w:rsidR="009214FF" w:rsidRPr="008A1540" w:rsidRDefault="009214FF" w:rsidP="009214FF">
      <w:pPr>
        <w:ind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19. Други уточнения и изисквания за изпълнение на поръчката;</w:t>
      </w:r>
    </w:p>
    <w:p w14:paraId="4C2023EF" w14:textId="77777777" w:rsidR="009214FF" w:rsidRPr="008A1540" w:rsidRDefault="009214FF" w:rsidP="009214FF">
      <w:pPr>
        <w:jc w:val="both"/>
        <w:rPr>
          <w:rFonts w:ascii="Times New Roman" w:hAnsi="Times New Roman" w:cs="Times New Roman"/>
          <w:sz w:val="28"/>
          <w:szCs w:val="28"/>
          <w:lang w:val="bg-BG"/>
        </w:rPr>
      </w:pPr>
    </w:p>
    <w:p w14:paraId="080F70BA" w14:textId="77777777" w:rsidR="009214FF" w:rsidRPr="008A1540" w:rsidRDefault="009214FF" w:rsidP="009214FF">
      <w:pPr>
        <w:jc w:val="both"/>
        <w:rPr>
          <w:rFonts w:ascii="Times New Roman" w:hAnsi="Times New Roman" w:cs="Times New Roman"/>
          <w:sz w:val="28"/>
          <w:szCs w:val="28"/>
          <w:lang w:val="bg-BG"/>
        </w:rPr>
      </w:pPr>
    </w:p>
    <w:p w14:paraId="53644E6F" w14:textId="77777777" w:rsidR="009214FF" w:rsidRPr="008A1540" w:rsidRDefault="009214FF" w:rsidP="009214FF">
      <w:pPr>
        <w:jc w:val="both"/>
        <w:rPr>
          <w:rFonts w:ascii="Times New Roman" w:hAnsi="Times New Roman" w:cs="Times New Roman"/>
          <w:sz w:val="28"/>
          <w:szCs w:val="28"/>
          <w:lang w:val="bg-BG"/>
        </w:rPr>
      </w:pPr>
    </w:p>
    <w:p w14:paraId="4A21E160" w14:textId="77777777" w:rsidR="009214FF" w:rsidRPr="008A1540" w:rsidRDefault="009214FF" w:rsidP="009214FF">
      <w:pPr>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Приложения: ...............</w:t>
      </w:r>
    </w:p>
    <w:p w14:paraId="10CFECAE" w14:textId="6701ABA7" w:rsidR="009214FF" w:rsidRPr="008A1540" w:rsidRDefault="009214FF" w:rsidP="009214FF">
      <w:pPr>
        <w:ind w:left="3540" w:firstLine="708"/>
        <w:jc w:val="both"/>
        <w:rPr>
          <w:rFonts w:ascii="Times New Roman" w:hAnsi="Times New Roman" w:cs="Times New Roman"/>
          <w:sz w:val="28"/>
          <w:szCs w:val="28"/>
          <w:lang w:val="bg-BG"/>
        </w:rPr>
      </w:pPr>
      <w:r w:rsidRPr="008A1540">
        <w:rPr>
          <w:rFonts w:ascii="Times New Roman" w:hAnsi="Times New Roman" w:cs="Times New Roman"/>
          <w:sz w:val="28"/>
          <w:szCs w:val="28"/>
          <w:lang w:val="bg-BG"/>
        </w:rPr>
        <w:t>Вносител:.......................................................</w:t>
      </w:r>
    </w:p>
    <w:p w14:paraId="13B789A8" w14:textId="77777777" w:rsidR="009214FF" w:rsidRPr="008A1540" w:rsidRDefault="009214FF" w:rsidP="009214FF">
      <w:pPr>
        <w:jc w:val="both"/>
        <w:rPr>
          <w:rFonts w:ascii="Times New Roman" w:hAnsi="Times New Roman" w:cs="Times New Roman"/>
          <w:i/>
          <w:sz w:val="28"/>
          <w:szCs w:val="28"/>
          <w:lang w:val="bg-BG"/>
        </w:rPr>
      </w:pPr>
    </w:p>
    <w:p w14:paraId="0328BF96" w14:textId="77777777" w:rsidR="009214FF" w:rsidRPr="008A1540" w:rsidRDefault="009214FF" w:rsidP="009214FF">
      <w:pPr>
        <w:jc w:val="both"/>
        <w:rPr>
          <w:rFonts w:ascii="Times New Roman" w:hAnsi="Times New Roman" w:cs="Times New Roman"/>
          <w:i/>
          <w:sz w:val="28"/>
          <w:szCs w:val="28"/>
          <w:lang w:val="bg-BG"/>
        </w:rPr>
      </w:pPr>
    </w:p>
    <w:p w14:paraId="4458B9DB" w14:textId="77777777" w:rsidR="009214FF" w:rsidRPr="008A1540" w:rsidRDefault="009214FF">
      <w:pPr>
        <w:rPr>
          <w:rFonts w:ascii="Times New Roman" w:hAnsi="Times New Roman" w:cs="Times New Roman"/>
          <w:sz w:val="28"/>
          <w:szCs w:val="28"/>
          <w:lang w:val="bg-BG"/>
        </w:rPr>
      </w:pPr>
    </w:p>
    <w:p w14:paraId="759A19BE" w14:textId="77777777" w:rsidR="008A1540" w:rsidRPr="008A1540" w:rsidRDefault="008A1540">
      <w:pPr>
        <w:rPr>
          <w:rFonts w:ascii="Times New Roman" w:hAnsi="Times New Roman" w:cs="Times New Roman"/>
          <w:sz w:val="28"/>
          <w:szCs w:val="28"/>
          <w:lang w:val="bg-BG"/>
        </w:rPr>
      </w:pPr>
    </w:p>
    <w:p w14:paraId="6366AF31" w14:textId="77777777" w:rsidR="008A1540" w:rsidRPr="008A1540" w:rsidRDefault="008A1540">
      <w:pPr>
        <w:rPr>
          <w:rFonts w:ascii="Times New Roman" w:hAnsi="Times New Roman" w:cs="Times New Roman"/>
          <w:sz w:val="28"/>
          <w:szCs w:val="28"/>
          <w:lang w:val="bg-BG"/>
        </w:rPr>
      </w:pPr>
    </w:p>
    <w:p w14:paraId="5E45A5B8" w14:textId="77777777" w:rsidR="008A1540" w:rsidRPr="008A1540" w:rsidRDefault="008A1540">
      <w:pPr>
        <w:rPr>
          <w:rFonts w:ascii="Times New Roman" w:hAnsi="Times New Roman" w:cs="Times New Roman"/>
          <w:sz w:val="28"/>
          <w:szCs w:val="28"/>
          <w:lang w:val="bg-BG"/>
        </w:rPr>
      </w:pPr>
    </w:p>
    <w:p w14:paraId="07CA614C" w14:textId="77777777" w:rsidR="008A1540" w:rsidRPr="008A1540" w:rsidRDefault="008A1540">
      <w:pPr>
        <w:rPr>
          <w:rFonts w:ascii="Times New Roman" w:hAnsi="Times New Roman" w:cs="Times New Roman"/>
          <w:sz w:val="28"/>
          <w:szCs w:val="28"/>
          <w:lang w:val="bg-BG"/>
        </w:rPr>
      </w:pPr>
    </w:p>
    <w:p w14:paraId="6ACF37E8" w14:textId="77777777" w:rsidR="008A1540" w:rsidRPr="008A1540" w:rsidRDefault="008A1540">
      <w:pPr>
        <w:rPr>
          <w:rFonts w:ascii="Times New Roman" w:hAnsi="Times New Roman" w:cs="Times New Roman"/>
          <w:sz w:val="28"/>
          <w:szCs w:val="28"/>
          <w:lang w:val="bg-BG"/>
        </w:rPr>
      </w:pPr>
    </w:p>
    <w:p w14:paraId="70D0ECF8" w14:textId="77777777" w:rsidR="008A1540" w:rsidRPr="008A1540" w:rsidRDefault="008A1540">
      <w:pPr>
        <w:rPr>
          <w:rFonts w:ascii="Times New Roman" w:hAnsi="Times New Roman" w:cs="Times New Roman"/>
          <w:sz w:val="28"/>
          <w:szCs w:val="28"/>
          <w:lang w:val="bg-BG"/>
        </w:rPr>
      </w:pPr>
    </w:p>
    <w:p w14:paraId="514F0BE9" w14:textId="77777777" w:rsidR="008A1540" w:rsidRPr="008A1540" w:rsidRDefault="008A1540">
      <w:pPr>
        <w:rPr>
          <w:rFonts w:ascii="Times New Roman" w:hAnsi="Times New Roman" w:cs="Times New Roman"/>
          <w:sz w:val="28"/>
          <w:szCs w:val="28"/>
          <w:lang w:val="bg-BG"/>
        </w:rPr>
      </w:pPr>
    </w:p>
    <w:p w14:paraId="799ADF66" w14:textId="77777777" w:rsidR="008A1540" w:rsidRPr="008A1540" w:rsidRDefault="008A1540">
      <w:pPr>
        <w:rPr>
          <w:rFonts w:ascii="Times New Roman" w:hAnsi="Times New Roman" w:cs="Times New Roman"/>
          <w:sz w:val="28"/>
          <w:szCs w:val="28"/>
          <w:lang w:val="bg-BG"/>
        </w:rPr>
      </w:pPr>
    </w:p>
    <w:p w14:paraId="55E5DA63" w14:textId="77777777" w:rsidR="008A1540" w:rsidRPr="008A1540" w:rsidRDefault="008A1540">
      <w:pPr>
        <w:rPr>
          <w:rFonts w:ascii="Times New Roman" w:hAnsi="Times New Roman" w:cs="Times New Roman"/>
          <w:sz w:val="28"/>
          <w:szCs w:val="28"/>
          <w:lang w:val="bg-BG"/>
        </w:rPr>
      </w:pPr>
    </w:p>
    <w:p w14:paraId="589E9904" w14:textId="77777777" w:rsidR="008A1540" w:rsidRPr="008A1540" w:rsidRDefault="008A1540">
      <w:pPr>
        <w:rPr>
          <w:rFonts w:ascii="Times New Roman" w:hAnsi="Times New Roman" w:cs="Times New Roman"/>
          <w:sz w:val="28"/>
          <w:szCs w:val="28"/>
          <w:lang w:val="bg-BG"/>
        </w:rPr>
      </w:pPr>
    </w:p>
    <w:p w14:paraId="43B29273" w14:textId="77777777" w:rsidR="008A1540" w:rsidRPr="008A1540" w:rsidRDefault="008A1540">
      <w:pPr>
        <w:rPr>
          <w:rFonts w:ascii="Times New Roman" w:hAnsi="Times New Roman" w:cs="Times New Roman"/>
          <w:sz w:val="28"/>
          <w:szCs w:val="28"/>
          <w:lang w:val="bg-BG"/>
        </w:rPr>
      </w:pPr>
    </w:p>
    <w:p w14:paraId="556E563E" w14:textId="77777777" w:rsidR="008A1540" w:rsidRPr="008A1540" w:rsidRDefault="008A1540">
      <w:pPr>
        <w:rPr>
          <w:rFonts w:ascii="Times New Roman" w:hAnsi="Times New Roman" w:cs="Times New Roman"/>
          <w:sz w:val="28"/>
          <w:szCs w:val="28"/>
          <w:lang w:val="bg-BG"/>
        </w:rPr>
      </w:pPr>
    </w:p>
    <w:p w14:paraId="0E7B4674"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ЗАБЕЛЕЖКИ</w:t>
      </w:r>
      <w:r w:rsidRPr="008A1540">
        <w:rPr>
          <w:rFonts w:ascii="Garamond" w:eastAsia="Times New Roman" w:hAnsi="Garamond" w:cs="Times New Roman"/>
          <w:b/>
          <w:bCs/>
          <w:i/>
          <w:sz w:val="24"/>
          <w:szCs w:val="24"/>
          <w:lang w:val="bg-BG" w:eastAsia="en-GB"/>
        </w:rPr>
        <w:t>: 1.</w:t>
      </w:r>
      <w:r w:rsidRPr="008A1540">
        <w:rPr>
          <w:rFonts w:ascii="Garamond" w:eastAsia="Times New Roman" w:hAnsi="Garamond" w:cs="Times New Roman"/>
          <w:b/>
          <w:bCs/>
          <w:sz w:val="24"/>
          <w:szCs w:val="24"/>
          <w:lang w:val="bg-BG" w:eastAsia="en-GB"/>
        </w:rPr>
        <w:t xml:space="preserve"> </w:t>
      </w:r>
      <w:r w:rsidRPr="008A1540">
        <w:rPr>
          <w:rFonts w:ascii="Garamond" w:eastAsia="Times New Roman" w:hAnsi="Garamond" w:cs="Times New Roman"/>
          <w:b/>
          <w:bCs/>
          <w:i/>
          <w:sz w:val="24"/>
          <w:szCs w:val="24"/>
          <w:lang w:val="bg-BG" w:eastAsia="en-GB"/>
        </w:rPr>
        <w:t>ЗОП –</w:t>
      </w:r>
      <w:r w:rsidRPr="008A1540">
        <w:rPr>
          <w:rFonts w:ascii="Garamond" w:eastAsia="Times New Roman" w:hAnsi="Garamond" w:cs="Times New Roman"/>
          <w:i/>
          <w:sz w:val="24"/>
          <w:szCs w:val="24"/>
          <w:lang w:val="bg-BG" w:eastAsia="en-GB"/>
        </w:rPr>
        <w:t xml:space="preserve"> „Методи за изчисляване на прогнозната стойност на обществените поръчки</w:t>
      </w:r>
    </w:p>
    <w:p w14:paraId="2A4A9141"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Чл. 21. (1) Прогнозната стойност на обществената поръчка се определя от възложителя и включва всички плащания без данък върху добавената стойност (ДДС), включително предвидените опции и подновявания на договорите, посочени изрично в условията на обществената поръчка. Когато възложителят предвижда награди или плащания за кандидатите или участниците, те се включват при определяне на прогнозната стойност на поръчката.</w:t>
      </w:r>
    </w:p>
    <w:p w14:paraId="09B33E89"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(2).) Прогнозната стойност трябва да е актуална към датата на откриване на обществената поръчка. Възложителят може да изчисли прогнозната стойност в резултат на проведени пазарни проучвания или консултации.</w:t>
      </w:r>
    </w:p>
    <w:p w14:paraId="3C72D208"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(3) Когато в структурата на възложителя има обособени звена на териториален, функционален или друг принцип, които не са самостоятелни възложители, прогнозната стойност на конкретна обществена поръчка се определя на база потребностите на всички обособени звена.</w:t>
      </w:r>
    </w:p>
    <w:p w14:paraId="1BF04298"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(4) Когато обществената поръчка включва няколко обособени позиции, всяка от които е предмет на договор, стойността на поръчката е равна на сбора от стойностите на всички позиции.</w:t>
      </w:r>
    </w:p>
    <w:p w14:paraId="6B3771D8"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(5) Когато обособена позиция се възлага самостоятелно, се спазва редът, приложим за общата стойност на цялата поръчка.</w:t>
      </w:r>
    </w:p>
    <w:p w14:paraId="49176740"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(6) Възложителите могат да възлагат обособени позиции по реда, валиден за индивидуалната прогнозна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прогнозна стойност на обособените позиции, възложени по този начин, не надхвърля 20 на сто от общата прогнозна стойност на поръчката. В тези случаи независимо от остатъчната стойност на поръчката тя се възлага по реда, приложим към общата прогнозна стойност на цялата поръчка.</w:t>
      </w:r>
    </w:p>
    <w:p w14:paraId="21E0DECA"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(7) При определяне прогнозната стойност на обществена поръчка за строителство в нея се включва и стойността на всички доставки и услуги, предоставени от възложителя на изпълнителя, при условие че такива са необходими за изпълнението на строителството.</w:t>
      </w:r>
    </w:p>
    <w:p w14:paraId="4ACFAB5F"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(8) При обществени поръчки за доставки или услуги, които са регулярни или подлежат на подновяване в рамките на определен период, прогнозната стойност се определя на базата на:</w:t>
      </w:r>
    </w:p>
    <w:p w14:paraId="1BEE3A00"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1. действителната обща стойност на поръчките от същия вид, които са възложени през предходните 12 месеца, коригирана с евентуалните промени в количеството или стойността, които биха могли да настъпят за период от 12 месеца след възлагането на поръчката, или</w:t>
      </w:r>
    </w:p>
    <w:p w14:paraId="1D33C75A"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2. общата прогнозна стойност на поръчките, възложени през 12-те месеца след първата доставка или услуга.</w:t>
      </w:r>
    </w:p>
    <w:p w14:paraId="667387C2"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(9) При обществени поръчки за доставка чрез лизинг, наем, финансов лизинг или покупка на изплащане прогнозната стойност на обществената поръчка се определя, както следва:</w:t>
      </w:r>
    </w:p>
    <w:p w14:paraId="792C02ED"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1. при обществени поръчки с определен срок, когато този срок е по-кратък от или е равен на 12 месеца – общата прогнозна стойност за срока на действие на договора за обществена поръчка, или ако срокът на действие на договора е по-дълъг от 12 месеца – общата стойност, включително прогнозната остатъчна стойност;</w:t>
      </w:r>
    </w:p>
    <w:p w14:paraId="28793C0E"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2. при обществени поръчки без определен срок или чийто срок не може да бъде определен – месечната стойност, умножена по 48.</w:t>
      </w:r>
    </w:p>
    <w:p w14:paraId="4E01A599"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(10) При обществени поръчки за услуги основата за изчисляване на прогнозната им стойност е следната:</w:t>
      </w:r>
    </w:p>
    <w:p w14:paraId="303AC77C"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1. при застрахователни услуги – платимата застрахователна премия и други възнаграждения;</w:t>
      </w:r>
    </w:p>
    <w:p w14:paraId="5A039EE9"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2. при банкови и други финансови услуги – таксите, дължимите комисиони, лихвите и други плащания;</w:t>
      </w:r>
    </w:p>
    <w:p w14:paraId="57F439B1"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3. при поръчки за проектиране – таксите, дължимите комисиони и други плащания.</w:t>
      </w:r>
    </w:p>
    <w:p w14:paraId="4F562E77"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(11) При обществени поръчки за услуги без посочена обща цена основата за изчисляване на прогнозната стойност е следната:</w:t>
      </w:r>
    </w:p>
    <w:p w14:paraId="38416C0A"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lastRenderedPageBreak/>
        <w:t xml:space="preserve"> 1. при поръчки с определен срок, ако този срок е по-кратък или е равен на 48 месеца – общата стойност за пълния срок;</w:t>
      </w:r>
    </w:p>
    <w:p w14:paraId="40DA892F"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 xml:space="preserve"> 2. при поръчки без определен срок или със срок, по-дълъг от 48 месеца – месечната стойност, умножена по 48.“</w:t>
      </w:r>
    </w:p>
    <w:p w14:paraId="1ACDA9D7"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p>
    <w:p w14:paraId="5EF967CF" w14:textId="77777777" w:rsidR="008A1540" w:rsidRPr="008A1540" w:rsidRDefault="008A1540" w:rsidP="008A1540">
      <w:pPr>
        <w:spacing w:after="0" w:line="240" w:lineRule="auto"/>
        <w:jc w:val="both"/>
        <w:rPr>
          <w:rFonts w:ascii="Garamond" w:eastAsia="Times New Roman" w:hAnsi="Garamond" w:cs="Times New Roman"/>
          <w:b/>
          <w:bCs/>
          <w:i/>
          <w:sz w:val="24"/>
          <w:szCs w:val="24"/>
          <w:lang w:val="bg-BG" w:eastAsia="en-GB"/>
        </w:rPr>
      </w:pPr>
      <w:r w:rsidRPr="008A1540">
        <w:rPr>
          <w:rFonts w:ascii="Garamond" w:eastAsia="Times New Roman" w:hAnsi="Garamond" w:cs="Times New Roman"/>
          <w:b/>
          <w:bCs/>
          <w:i/>
          <w:sz w:val="24"/>
          <w:szCs w:val="24"/>
          <w:lang w:val="bg-BG" w:eastAsia="en-GB"/>
        </w:rPr>
        <w:t>2.Към ИД в зависимост от обекта /строителство, доставки или услуги/ се прилагат следните документи и информация /които са приложими в конкретния случай/:</w:t>
      </w:r>
    </w:p>
    <w:p w14:paraId="21104DB6"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b/>
          <w:bCs/>
          <w:i/>
          <w:sz w:val="24"/>
          <w:szCs w:val="24"/>
          <w:lang w:val="bg-BG" w:eastAsia="en-GB"/>
        </w:rPr>
        <w:t>А.</w:t>
      </w:r>
      <w:r w:rsidRPr="008A1540">
        <w:rPr>
          <w:rFonts w:ascii="Garamond" w:eastAsia="Times New Roman" w:hAnsi="Garamond" w:cs="Times New Roman"/>
          <w:i/>
          <w:sz w:val="24"/>
          <w:szCs w:val="24"/>
          <w:lang w:val="bg-BG" w:eastAsia="en-GB"/>
        </w:rPr>
        <w:t xml:space="preserve"> При иницииране на процедура за Строителство (с изключение на аварийни СМР) към ДЗ Заявителят прилага следните документи:</w:t>
      </w:r>
    </w:p>
    <w:p w14:paraId="09820CF9"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1. пълно описание на обекта на поръчката и видовете дейности, като се посочват целите, обема, обхвата и изискванията към изпълнението на обекта на поръчка, включително обособени позиции (на хартиен и електронен носител)',</w:t>
      </w:r>
    </w:p>
    <w:p w14:paraId="5D38555E"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2. техническо задание (на хартиен и електронен носител; подписано от изготвилия го служител), определящо:</w:t>
      </w:r>
    </w:p>
    <w:p w14:paraId="552FD7BB"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а) количествено-стойностни сметки;</w:t>
      </w:r>
    </w:p>
    <w:p w14:paraId="2773FFF2"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б) технически изисквания;</w:t>
      </w:r>
    </w:p>
    <w:p w14:paraId="282EA6AE"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в) минимални изисквания към кандидатите/участниците - разрешения за извършване на дейността, лицензни, сертификати, застраховки и квалификация и др. (в случай, че са необходими за изпълнение на поръчката);</w:t>
      </w:r>
    </w:p>
    <w:p w14:paraId="20BD2ACB"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г) минимални изисквания към техническото оборудване, необходимо за изпълнение на поръчката (ако има такива); изисквания към влаганите материали и изпълненото строителство;</w:t>
      </w:r>
    </w:p>
    <w:p w14:paraId="141F6F76"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д) мерките за опазване на околната среда и безопасни условия на труд (ако има такива);</w:t>
      </w:r>
    </w:p>
    <w:p w14:paraId="1503C0CF"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е) срокове за изпълнение на проектирането (в случаите на инженеринг) и на СМР/СРР; условия по приемане на обекта;</w:t>
      </w:r>
    </w:p>
    <w:p w14:paraId="4C088EDA"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3. работен проект (съгласуван със съответните съгласувателни институции по чл.121 от ЗУТ);</w:t>
      </w:r>
    </w:p>
    <w:p w14:paraId="7F5D303C"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4. комплексен доклад за оценка на съответствието със съществените изисквания към строежите или разрешение за строеж;</w:t>
      </w:r>
    </w:p>
    <w:p w14:paraId="35107558"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5. изходни данни за: подземен кадастър, съществуващи мрежи и съоръжения на техническата инфраструктура (електро, ВиК, газопреносна мрежа, топлофикационни тръби, телефонни кабели и др.), наличието на които е от съществено значение за качественото изпълнение на поръчката;</w:t>
      </w:r>
    </w:p>
    <w:p w14:paraId="53727B12"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6. критерий за определяне на икономически най-изгодната оферта и методика (ако има такава);</w:t>
      </w:r>
    </w:p>
    <w:p w14:paraId="69E85407"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7. специфични клаузи, които да бъдат включени в проекто-договора (ако има такива).</w:t>
      </w:r>
    </w:p>
    <w:p w14:paraId="10EC7F5D"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8. необходимостта при строежи над четвърта категория от възлагане на строителен надзор и дали изборът на надзор ще е в една обща процедура със строителството или ще е предмет на последващо възлагане.</w:t>
      </w:r>
    </w:p>
    <w:p w14:paraId="5BDEDF10"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b/>
          <w:bCs/>
          <w:i/>
          <w:sz w:val="24"/>
          <w:szCs w:val="24"/>
          <w:lang w:val="bg-BG" w:eastAsia="en-GB"/>
        </w:rPr>
        <w:t>Б.</w:t>
      </w:r>
      <w:r w:rsidRPr="008A1540">
        <w:rPr>
          <w:rFonts w:ascii="Garamond" w:eastAsia="Times New Roman" w:hAnsi="Garamond" w:cs="Times New Roman"/>
          <w:i/>
          <w:sz w:val="24"/>
          <w:szCs w:val="24"/>
          <w:lang w:val="bg-BG" w:eastAsia="en-GB"/>
        </w:rPr>
        <w:t xml:space="preserve"> При иницииране на процедура за Доставка, към ИД Заявителят прилага следните документи /които са приложими в конкретния случай/:</w:t>
      </w:r>
    </w:p>
    <w:p w14:paraId="10203F35"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1. техническа спецификация (на хартиен и електронен носител; подписана от изготвилия служител), определяща:</w:t>
      </w:r>
    </w:p>
    <w:p w14:paraId="4025984A"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а) общо описание на предмета на поръчката, включително количество и обем на доставките;</w:t>
      </w:r>
    </w:p>
    <w:p w14:paraId="7D502605"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б) количество на стоките (ако е приложимо), предмет на поръчката (включително и при обособени позиции);</w:t>
      </w:r>
    </w:p>
    <w:p w14:paraId="06CF978A"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в) технически характеристики в зависимост от предмета на поръчката;</w:t>
      </w:r>
    </w:p>
    <w:p w14:paraId="64F53736"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г) условия на доставката.</w:t>
      </w:r>
    </w:p>
    <w:p w14:paraId="2E5407A8"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2. критерий за определяне на икономически най-изгодната оферта и методика (ако има такава);</w:t>
      </w:r>
    </w:p>
    <w:p w14:paraId="68B6873A"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3. специфични клаузи които да бъдат включени в проекто-договора (ако има такива).</w:t>
      </w:r>
    </w:p>
    <w:p w14:paraId="3D6EBC0C"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b/>
          <w:bCs/>
          <w:i/>
          <w:sz w:val="24"/>
          <w:szCs w:val="24"/>
          <w:lang w:val="bg-BG" w:eastAsia="en-GB"/>
        </w:rPr>
        <w:t>В.</w:t>
      </w:r>
      <w:r w:rsidRPr="008A1540">
        <w:rPr>
          <w:rFonts w:ascii="Garamond" w:eastAsia="Times New Roman" w:hAnsi="Garamond" w:cs="Times New Roman"/>
          <w:i/>
          <w:sz w:val="24"/>
          <w:szCs w:val="24"/>
          <w:lang w:val="bg-BG" w:eastAsia="en-GB"/>
        </w:rPr>
        <w:t xml:space="preserve"> При иницииране на процедура за Услуги, към ИД Заявителят прилага следните документи:</w:t>
      </w:r>
    </w:p>
    <w:p w14:paraId="5C30FB7D"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1. техническа спецификация (на хартиен и електронен носител; подписана от изготвилия я служител), определяща:</w:t>
      </w:r>
    </w:p>
    <w:p w14:paraId="5E2CD029"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а) общо описание на предмета на поръчката, включително количество и обем на услугите;</w:t>
      </w:r>
    </w:p>
    <w:p w14:paraId="783AA85B"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б) основна и специфични цели на предмета на поръчката;</w:t>
      </w:r>
    </w:p>
    <w:p w14:paraId="7D59A7BC"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lastRenderedPageBreak/>
        <w:t>в) основни дейности, свързани с изпълнението на поръчката;</w:t>
      </w:r>
    </w:p>
    <w:p w14:paraId="7384E116"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г) очаквани резултати и изисквания към тях;</w:t>
      </w:r>
    </w:p>
    <w:p w14:paraId="4BBC0AB1"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д) време и място за изпълнение на поръчката;</w:t>
      </w:r>
    </w:p>
    <w:p w14:paraId="07F31254"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е) организация и метод на изпълнение;</w:t>
      </w:r>
    </w:p>
    <w:p w14:paraId="1312D4D2"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ж) съгласувателни процедури по приемане.</w:t>
      </w:r>
    </w:p>
    <w:p w14:paraId="547B2786"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2.</w:t>
      </w:r>
      <w:r w:rsidRPr="008A1540">
        <w:rPr>
          <w:rFonts w:ascii="Garamond" w:eastAsia="Times New Roman" w:hAnsi="Garamond" w:cs="Times New Roman"/>
          <w:i/>
          <w:sz w:val="24"/>
          <w:szCs w:val="24"/>
          <w:lang w:val="bg-BG" w:eastAsia="en-GB"/>
        </w:rPr>
        <w:tab/>
        <w:t>критерий за определяне на икономически най-изгодната оферта и методика (ако има такава);</w:t>
      </w:r>
    </w:p>
    <w:p w14:paraId="13A8121B"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3.</w:t>
      </w:r>
      <w:r w:rsidRPr="008A1540">
        <w:rPr>
          <w:rFonts w:ascii="Garamond" w:eastAsia="Times New Roman" w:hAnsi="Garamond" w:cs="Times New Roman"/>
          <w:i/>
          <w:sz w:val="24"/>
          <w:szCs w:val="24"/>
          <w:lang w:val="bg-BG" w:eastAsia="en-GB"/>
        </w:rPr>
        <w:tab/>
        <w:t>специфични клаузи които да бъдат включени в проекто-договора (ако има такива).“</w:t>
      </w:r>
    </w:p>
    <w:p w14:paraId="31CB41CB" w14:textId="77777777" w:rsidR="008A1540" w:rsidRPr="008A1540" w:rsidRDefault="008A1540" w:rsidP="008A1540">
      <w:pPr>
        <w:spacing w:after="0" w:line="240" w:lineRule="auto"/>
        <w:jc w:val="both"/>
        <w:rPr>
          <w:rFonts w:ascii="Garamond" w:eastAsia="Times New Roman" w:hAnsi="Garamond" w:cs="Times New Roman"/>
          <w:b/>
          <w:bCs/>
          <w:i/>
          <w:sz w:val="24"/>
          <w:szCs w:val="24"/>
          <w:lang w:val="bg-BG" w:eastAsia="en-GB"/>
        </w:rPr>
      </w:pPr>
      <w:r w:rsidRPr="008A1540">
        <w:rPr>
          <w:rFonts w:ascii="Garamond" w:eastAsia="Times New Roman" w:hAnsi="Garamond" w:cs="Times New Roman"/>
          <w:b/>
          <w:bCs/>
          <w:i/>
          <w:sz w:val="24"/>
          <w:szCs w:val="24"/>
          <w:lang w:val="bg-BG" w:eastAsia="en-GB"/>
        </w:rPr>
        <w:t>3."Техническа спецификация " е:</w:t>
      </w:r>
    </w:p>
    <w:p w14:paraId="5DA7D41F"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а)</w:t>
      </w:r>
      <w:r w:rsidRPr="008A1540">
        <w:rPr>
          <w:rFonts w:ascii="Garamond" w:eastAsia="Times New Roman" w:hAnsi="Garamond" w:cs="Times New Roman"/>
          <w:i/>
          <w:sz w:val="24"/>
          <w:szCs w:val="24"/>
          <w:lang w:val="bg-BG" w:eastAsia="en-GB"/>
        </w:rPr>
        <w:tab/>
        <w:t>при обществени поръчки за строителство - всички технически предписания, които се съдържат, по-специално, в документацията за обществената поръчка, определящи изискваните характеристики на материалите, стоките или консумативите, така че да отговарят на предвидената от възложителя употреба; тези характеристики трябва да включват ниво на изпълнение спрямо изискванията за опазване на околната среда и климата, проектиране, което да отговаря на всички изисквания (включително достъп за хора с увреждания) и оценяване на съответствието, работни характеристики, безопасност или размери, включително процедурите относно осигуряването на качеството, терминология, символи, изпитване и методи на изпитване, опаковане, маркиране и етикетиране, инструкции за употреба и производствени процеси и методи на всеки етап от жизнения цикъл на строителните работи; характеристиките включват и правила за проектиране и ценообразуване, условия за изпитване, инспекция и приемане на строителство и методи или технологии на строителство, както и всички други технически условия, които възложителят може да наложи съгласно общи ши специални нормативни актове по отношение на завършено строителство и материалите или частите, включени в него;</w:t>
      </w:r>
    </w:p>
    <w:p w14:paraId="0A819F21"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б)</w:t>
      </w:r>
      <w:r w:rsidRPr="008A1540">
        <w:rPr>
          <w:rFonts w:ascii="Garamond" w:eastAsia="Times New Roman" w:hAnsi="Garamond" w:cs="Times New Roman"/>
          <w:i/>
          <w:sz w:val="24"/>
          <w:szCs w:val="24"/>
          <w:lang w:val="bg-BG" w:eastAsia="en-GB"/>
        </w:rPr>
        <w:tab/>
        <w:t>при обществените поръчки за доставки и услуги - спецификация във вид на документ, в който се определят изискваните характеристики на продукта или услугата, като равнище на качество, ниво на изпълнение спрямо изискванията за опазване на околната среда и климата, проектиране, което да отговаря на всички изисквания (включително достъп за хора с увреждания) и оценяване на съответствието, работни характеристики, приложение на продукта, безопасност ши размери, включително съотносими към продукта изисквания по отношение на наименованието, под което се продава, терминология, символи, изпитване и методи на изпитване, опаковане, маркиране и етикетиране, инструкции за употреба, производствени процеси и методи на всеки етап от жизнения цикъл на доставката ши услугата и процедури за оценяване на съответствието.</w:t>
      </w:r>
    </w:p>
    <w:p w14:paraId="29C25DC0"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p>
    <w:p w14:paraId="20936166" w14:textId="77777777" w:rsidR="008A1540" w:rsidRPr="008A1540" w:rsidRDefault="008A1540" w:rsidP="008A1540">
      <w:pPr>
        <w:spacing w:after="0" w:line="240" w:lineRule="auto"/>
        <w:jc w:val="both"/>
        <w:rPr>
          <w:rFonts w:ascii="Garamond" w:eastAsia="Times New Roman" w:hAnsi="Garamond" w:cs="Times New Roman"/>
          <w:i/>
          <w:sz w:val="24"/>
          <w:szCs w:val="24"/>
          <w:lang w:val="bg-BG" w:eastAsia="en-GB"/>
        </w:rPr>
      </w:pPr>
      <w:r w:rsidRPr="008A1540">
        <w:rPr>
          <w:rFonts w:ascii="Garamond" w:eastAsia="Times New Roman" w:hAnsi="Garamond" w:cs="Times New Roman"/>
          <w:i/>
          <w:sz w:val="24"/>
          <w:szCs w:val="24"/>
          <w:lang w:val="bg-BG" w:eastAsia="en-GB"/>
        </w:rPr>
        <w:t>4.</w:t>
      </w:r>
      <w:r w:rsidRPr="008A1540">
        <w:rPr>
          <w:rFonts w:ascii="Garamond" w:eastAsia="Times New Roman" w:hAnsi="Garamond" w:cs="Times New Roman"/>
          <w:sz w:val="24"/>
          <w:szCs w:val="24"/>
          <w:lang w:val="bg-BG" w:eastAsia="en-GB"/>
        </w:rPr>
        <w:t xml:space="preserve"> </w:t>
      </w:r>
      <w:r w:rsidRPr="008A1540">
        <w:rPr>
          <w:rFonts w:ascii="Garamond" w:eastAsia="Times New Roman" w:hAnsi="Garamond" w:cs="Times New Roman"/>
          <w:i/>
          <w:iCs/>
          <w:sz w:val="24"/>
          <w:szCs w:val="24"/>
          <w:lang w:val="bg-BG" w:eastAsia="en-GB"/>
        </w:rPr>
        <w:t>Базови цени – При допуснати до отваряне на ценови предложения на само една или две оферти проверката за наличието на необичайно благоприятни оферти се осъществява по правилата на чл. 72, ал. 1, т. 2 от ЗОП като предложението на участника/те се сравнява/т или с обявената прогнозна стойност /когато в ценовото предложение се формира крайна обща стойност/ или с предварително определена от възложителя подходяща и обективна база за сравнение посочена в обявените условия на поръчката. Базова цена се определя предварително за всяка от предлаганите цени, която подлежи на самостоятелно оценяване. Когато се установи, че предложение на участник /при една или две допуснати оферти/ е с повече от 20 на стоя по-благоприятно от прогнозната стойност на поръчката или от предварително определена от възложителя базова цена /което е приложимо в конкретната процедура/, то на този участник се изисква да представи обосновка за начина на образуване на съответното предложение.</w:t>
      </w:r>
    </w:p>
    <w:p w14:paraId="510C46F1" w14:textId="77777777" w:rsidR="008A1540" w:rsidRPr="008A1540" w:rsidRDefault="008A1540" w:rsidP="008A1540">
      <w:pPr>
        <w:spacing w:after="240" w:line="240" w:lineRule="auto"/>
        <w:rPr>
          <w:rFonts w:ascii="Garamond" w:eastAsia="Times New Roman" w:hAnsi="Garamond" w:cs="Times New Roman"/>
          <w:b/>
          <w:sz w:val="24"/>
          <w:szCs w:val="24"/>
          <w:lang w:val="bg-BG" w:eastAsia="en-GB"/>
        </w:rPr>
      </w:pPr>
    </w:p>
    <w:p w14:paraId="72E76A0D" w14:textId="77777777" w:rsidR="008A1540" w:rsidRPr="008A1540" w:rsidRDefault="008A1540">
      <w:pPr>
        <w:rPr>
          <w:rFonts w:ascii="Times New Roman" w:hAnsi="Times New Roman" w:cs="Times New Roman"/>
          <w:sz w:val="28"/>
          <w:szCs w:val="28"/>
          <w:lang w:val="bg-BG"/>
        </w:rPr>
      </w:pPr>
    </w:p>
    <w:sectPr w:rsidR="008A1540" w:rsidRPr="008A15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4FF"/>
    <w:rsid w:val="000E6D71"/>
    <w:rsid w:val="008A1540"/>
    <w:rsid w:val="009214FF"/>
    <w:rsid w:val="00967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65283"/>
  <w15:chartTrackingRefBased/>
  <w15:docId w15:val="{8A742C3D-F35F-44FA-A660-524690FF4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4FF"/>
  </w:style>
  <w:style w:type="paragraph" w:styleId="Heading1">
    <w:name w:val="heading 1"/>
    <w:basedOn w:val="Normal"/>
    <w:next w:val="Normal"/>
    <w:link w:val="Heading1Char"/>
    <w:uiPriority w:val="9"/>
    <w:qFormat/>
    <w:rsid w:val="009214FF"/>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9214FF"/>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214FF"/>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214FF"/>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9214FF"/>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9214FF"/>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9214FF"/>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9214FF"/>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9214FF"/>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14FF"/>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9214F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214FF"/>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214FF"/>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9214FF"/>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9214FF"/>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9214FF"/>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9214FF"/>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9214FF"/>
    <w:rPr>
      <w:rFonts w:asciiTheme="majorHAnsi" w:eastAsiaTheme="majorEastAsia" w:hAnsiTheme="majorHAnsi" w:cstheme="majorBidi"/>
      <w:i/>
      <w:iCs/>
      <w:color w:val="1F3864" w:themeColor="accent1" w:themeShade="80"/>
    </w:rPr>
  </w:style>
  <w:style w:type="paragraph" w:styleId="Title">
    <w:name w:val="Title"/>
    <w:basedOn w:val="Normal"/>
    <w:next w:val="Normal"/>
    <w:link w:val="TitleChar"/>
    <w:uiPriority w:val="10"/>
    <w:qFormat/>
    <w:rsid w:val="009214FF"/>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9214FF"/>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9214FF"/>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9214FF"/>
    <w:rPr>
      <w:rFonts w:asciiTheme="majorHAnsi" w:eastAsiaTheme="majorEastAsia" w:hAnsiTheme="majorHAnsi" w:cstheme="majorBidi"/>
      <w:color w:val="4472C4" w:themeColor="accent1"/>
      <w:sz w:val="28"/>
      <w:szCs w:val="28"/>
    </w:rPr>
  </w:style>
  <w:style w:type="paragraph" w:styleId="Quote">
    <w:name w:val="Quote"/>
    <w:basedOn w:val="Normal"/>
    <w:next w:val="Normal"/>
    <w:link w:val="QuoteChar"/>
    <w:uiPriority w:val="29"/>
    <w:qFormat/>
    <w:rsid w:val="009214FF"/>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9214FF"/>
    <w:rPr>
      <w:color w:val="44546A" w:themeColor="text2"/>
      <w:sz w:val="24"/>
      <w:szCs w:val="24"/>
    </w:rPr>
  </w:style>
  <w:style w:type="paragraph" w:styleId="ListParagraph">
    <w:name w:val="List Paragraph"/>
    <w:basedOn w:val="Normal"/>
    <w:uiPriority w:val="34"/>
    <w:qFormat/>
    <w:rsid w:val="009214FF"/>
    <w:pPr>
      <w:ind w:left="720"/>
      <w:contextualSpacing/>
    </w:pPr>
  </w:style>
  <w:style w:type="character" w:styleId="IntenseEmphasis">
    <w:name w:val="Intense Emphasis"/>
    <w:basedOn w:val="DefaultParagraphFont"/>
    <w:uiPriority w:val="21"/>
    <w:qFormat/>
    <w:rsid w:val="009214FF"/>
    <w:rPr>
      <w:b/>
      <w:bCs/>
      <w:i/>
      <w:iCs/>
    </w:rPr>
  </w:style>
  <w:style w:type="paragraph" w:styleId="IntenseQuote">
    <w:name w:val="Intense Quote"/>
    <w:basedOn w:val="Normal"/>
    <w:next w:val="Normal"/>
    <w:link w:val="IntenseQuoteChar"/>
    <w:uiPriority w:val="30"/>
    <w:qFormat/>
    <w:rsid w:val="009214FF"/>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9214FF"/>
    <w:rPr>
      <w:rFonts w:asciiTheme="majorHAnsi" w:eastAsiaTheme="majorEastAsia" w:hAnsiTheme="majorHAnsi" w:cstheme="majorBidi"/>
      <w:color w:val="44546A" w:themeColor="text2"/>
      <w:spacing w:val="-6"/>
      <w:sz w:val="32"/>
      <w:szCs w:val="32"/>
    </w:rPr>
  </w:style>
  <w:style w:type="character" w:styleId="IntenseReference">
    <w:name w:val="Intense Reference"/>
    <w:basedOn w:val="DefaultParagraphFont"/>
    <w:uiPriority w:val="32"/>
    <w:qFormat/>
    <w:rsid w:val="009214FF"/>
    <w:rPr>
      <w:b/>
      <w:bCs/>
      <w:smallCaps/>
      <w:color w:val="44546A" w:themeColor="text2"/>
      <w:u w:val="single"/>
    </w:rPr>
  </w:style>
  <w:style w:type="paragraph" w:styleId="Caption">
    <w:name w:val="caption"/>
    <w:basedOn w:val="Normal"/>
    <w:next w:val="Normal"/>
    <w:uiPriority w:val="35"/>
    <w:semiHidden/>
    <w:unhideWhenUsed/>
    <w:qFormat/>
    <w:rsid w:val="009214FF"/>
    <w:pPr>
      <w:spacing w:line="240" w:lineRule="auto"/>
    </w:pPr>
    <w:rPr>
      <w:b/>
      <w:bCs/>
      <w:smallCaps/>
      <w:color w:val="44546A" w:themeColor="text2"/>
    </w:rPr>
  </w:style>
  <w:style w:type="character" w:styleId="Strong">
    <w:name w:val="Strong"/>
    <w:basedOn w:val="DefaultParagraphFont"/>
    <w:uiPriority w:val="22"/>
    <w:qFormat/>
    <w:rsid w:val="009214FF"/>
    <w:rPr>
      <w:b/>
      <w:bCs/>
    </w:rPr>
  </w:style>
  <w:style w:type="character" w:styleId="Emphasis">
    <w:name w:val="Emphasis"/>
    <w:basedOn w:val="DefaultParagraphFont"/>
    <w:uiPriority w:val="20"/>
    <w:qFormat/>
    <w:rsid w:val="009214FF"/>
    <w:rPr>
      <w:i/>
      <w:iCs/>
    </w:rPr>
  </w:style>
  <w:style w:type="paragraph" w:styleId="NoSpacing">
    <w:name w:val="No Spacing"/>
    <w:uiPriority w:val="1"/>
    <w:qFormat/>
    <w:rsid w:val="009214FF"/>
    <w:pPr>
      <w:spacing w:after="0" w:line="240" w:lineRule="auto"/>
    </w:pPr>
  </w:style>
  <w:style w:type="character" w:styleId="SubtleEmphasis">
    <w:name w:val="Subtle Emphasis"/>
    <w:basedOn w:val="DefaultParagraphFont"/>
    <w:uiPriority w:val="19"/>
    <w:qFormat/>
    <w:rsid w:val="009214FF"/>
    <w:rPr>
      <w:i/>
      <w:iCs/>
      <w:color w:val="595959" w:themeColor="text1" w:themeTint="A6"/>
    </w:rPr>
  </w:style>
  <w:style w:type="character" w:styleId="SubtleReference">
    <w:name w:val="Subtle Reference"/>
    <w:basedOn w:val="DefaultParagraphFont"/>
    <w:uiPriority w:val="31"/>
    <w:qFormat/>
    <w:rsid w:val="009214FF"/>
    <w:rPr>
      <w:smallCaps/>
      <w:color w:val="595959" w:themeColor="text1" w:themeTint="A6"/>
      <w:u w:val="none" w:color="7F7F7F" w:themeColor="text1" w:themeTint="80"/>
      <w:bdr w:val="none" w:sz="0" w:space="0" w:color="auto"/>
    </w:rPr>
  </w:style>
  <w:style w:type="character" w:styleId="BookTitle">
    <w:name w:val="Book Title"/>
    <w:basedOn w:val="DefaultParagraphFont"/>
    <w:uiPriority w:val="33"/>
    <w:qFormat/>
    <w:rsid w:val="009214FF"/>
    <w:rPr>
      <w:b/>
      <w:bCs/>
      <w:smallCaps/>
      <w:spacing w:val="10"/>
    </w:rPr>
  </w:style>
  <w:style w:type="paragraph" w:styleId="TOCHeading">
    <w:name w:val="TOC Heading"/>
    <w:basedOn w:val="Heading1"/>
    <w:next w:val="Normal"/>
    <w:uiPriority w:val="39"/>
    <w:semiHidden/>
    <w:unhideWhenUsed/>
    <w:qFormat/>
    <w:rsid w:val="009214F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1960</Words>
  <Characters>11177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2</cp:revision>
  <dcterms:created xsi:type="dcterms:W3CDTF">2025-02-27T11:14:00Z</dcterms:created>
  <dcterms:modified xsi:type="dcterms:W3CDTF">2025-02-27T11:43:00Z</dcterms:modified>
</cp:coreProperties>
</file>